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7D28" w:rsidRPr="00927533" w:rsidTr="001B39BA">
        <w:tc>
          <w:tcPr>
            <w:tcW w:w="9214" w:type="dxa"/>
          </w:tcPr>
          <w:p w:rsidR="00627D28" w:rsidRPr="00927533" w:rsidRDefault="00627D28" w:rsidP="00627D28">
            <w:pPr>
              <w:widowControl w:val="0"/>
              <w:autoSpaceDE w:val="0"/>
              <w:jc w:val="right"/>
              <w:rPr>
                <w:rFonts w:ascii="Cambria" w:hAnsi="Cambria"/>
                <w:sz w:val="20"/>
              </w:rPr>
            </w:pPr>
            <w:r w:rsidRPr="00927533">
              <w:rPr>
                <w:rFonts w:ascii="Cambria" w:hAnsi="Cambria"/>
                <w:b/>
                <w:sz w:val="20"/>
              </w:rPr>
              <w:t xml:space="preserve">Załącznik nr </w:t>
            </w:r>
            <w:r w:rsidR="00C52BD8">
              <w:rPr>
                <w:rFonts w:ascii="Cambria" w:hAnsi="Cambria"/>
                <w:b/>
                <w:sz w:val="20"/>
              </w:rPr>
              <w:t>6</w:t>
            </w:r>
            <w:r w:rsidR="000B4C23" w:rsidRPr="00927533">
              <w:rPr>
                <w:rFonts w:ascii="Cambria" w:hAnsi="Cambria"/>
                <w:b/>
                <w:sz w:val="20"/>
              </w:rPr>
              <w:t xml:space="preserve"> </w:t>
            </w:r>
            <w:r w:rsidRPr="00927533">
              <w:rPr>
                <w:rFonts w:ascii="Cambria" w:hAnsi="Cambria"/>
                <w:b/>
                <w:sz w:val="20"/>
              </w:rPr>
              <w:t xml:space="preserve">do </w:t>
            </w:r>
            <w:r w:rsidR="00130F55" w:rsidRPr="00927533">
              <w:rPr>
                <w:rFonts w:ascii="Cambria" w:hAnsi="Cambria"/>
                <w:b/>
                <w:sz w:val="20"/>
              </w:rPr>
              <w:t>SIWZ</w:t>
            </w:r>
          </w:p>
          <w:p w:rsidR="00EE4656" w:rsidRPr="00927533" w:rsidRDefault="00EE4656" w:rsidP="00627D28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  <w:r w:rsidRPr="00927533">
              <w:rPr>
                <w:rFonts w:ascii="Cambria" w:hAnsi="Cambria"/>
                <w:sz w:val="20"/>
              </w:rPr>
              <w:t>……..…………………</w:t>
            </w: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  <w:r w:rsidRPr="00927533">
              <w:rPr>
                <w:rFonts w:ascii="Cambria" w:hAnsi="Cambria"/>
                <w:i/>
                <w:sz w:val="20"/>
              </w:rPr>
              <w:t xml:space="preserve">  /pieczęć wykonawcy/</w:t>
            </w:r>
          </w:p>
          <w:p w:rsidR="00627D28" w:rsidRPr="00927533" w:rsidRDefault="00627D28" w:rsidP="00627D28">
            <w:pPr>
              <w:widowControl w:val="0"/>
              <w:autoSpaceDE w:val="0"/>
              <w:jc w:val="both"/>
              <w:rPr>
                <w:rFonts w:ascii="Cambria" w:hAnsi="Cambria"/>
                <w:i/>
                <w:sz w:val="20"/>
              </w:rPr>
            </w:pPr>
          </w:p>
          <w:p w:rsidR="00627D28" w:rsidRPr="00927533" w:rsidRDefault="00627D28" w:rsidP="00627D28">
            <w:pPr>
              <w:widowControl w:val="0"/>
              <w:autoSpaceDE w:val="0"/>
              <w:rPr>
                <w:rFonts w:ascii="Cambria" w:hAnsi="Cambria"/>
                <w:b/>
                <w:sz w:val="20"/>
              </w:rPr>
            </w:pPr>
          </w:p>
          <w:p w:rsidR="00627D28" w:rsidRPr="00927533" w:rsidRDefault="00627D28" w:rsidP="00627D28">
            <w:pPr>
              <w:pStyle w:val="Nagwek1"/>
              <w:outlineLvl w:val="0"/>
              <w:rPr>
                <w:rFonts w:ascii="Cambria" w:hAnsi="Cambria" w:cs="Times New Roman"/>
                <w:sz w:val="20"/>
              </w:rPr>
            </w:pPr>
            <w:r w:rsidRPr="00927533">
              <w:rPr>
                <w:rFonts w:ascii="Cambria" w:hAnsi="Cambria" w:cs="Times New Roman"/>
                <w:sz w:val="20"/>
              </w:rPr>
              <w:t>Szczegółowy opis przedmiotu zamówienia</w:t>
            </w:r>
          </w:p>
          <w:p w:rsidR="00EE4656" w:rsidRPr="00927533" w:rsidRDefault="00EE4656" w:rsidP="00EE4656">
            <w:pPr>
              <w:rPr>
                <w:rFonts w:ascii="Cambria" w:hAnsi="Cambria"/>
                <w:sz w:val="20"/>
              </w:rPr>
            </w:pPr>
          </w:p>
          <w:p w:rsidR="00EE4656" w:rsidRDefault="00EE4656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 w:rsidRPr="00927533">
              <w:rPr>
                <w:rFonts w:ascii="Cambria" w:hAnsi="Cambria"/>
                <w:b/>
                <w:color w:val="000000"/>
                <w:sz w:val="20"/>
                <w:lang w:eastAsia="pl-PL"/>
              </w:rPr>
              <w:t>Zakup i dost</w:t>
            </w:r>
            <w:r w:rsidR="009C3BAA">
              <w:rPr>
                <w:rFonts w:ascii="Cambria" w:hAnsi="Cambria"/>
                <w:b/>
                <w:color w:val="000000"/>
                <w:sz w:val="20"/>
                <w:lang w:eastAsia="pl-PL"/>
              </w:rPr>
              <w:t>awa trzech samochodów osobowych w ramach programu Państwowego Funduszu Rehabilitacji Osób Niepełnosprawnych pod nazwą „Program wyrównywania różnic między regionami III”</w:t>
            </w:r>
            <w:r w:rsidRPr="00927533"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</w:t>
            </w:r>
          </w:p>
          <w:p w:rsidR="00012454" w:rsidRDefault="00012454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012454" w:rsidRPr="00927533" w:rsidRDefault="00012454" w:rsidP="009C3BAA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 – Zakup i dostawa samochodu osobowego dla Specjalnego Ośrodka Szkolno-Wychowawczego w Broninie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926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844"/>
            </w:tblGrid>
            <w:tr w:rsidR="00627D28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EE4656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</w:t>
                  </w:r>
                  <w:r w:rsidR="00EE4656"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ia minimalne</w:t>
                  </w:r>
                </w:p>
              </w:tc>
              <w:tc>
                <w:tcPr>
                  <w:tcW w:w="1844" w:type="dxa"/>
                  <w:vAlign w:val="center"/>
                </w:tcPr>
                <w:p w:rsidR="00627D28" w:rsidRPr="00927533" w:rsidRDefault="00627D28" w:rsidP="00EE4656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</w:t>
                  </w:r>
                  <w:r w:rsidR="00EE4656"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 xml:space="preserve"> przez Wykonawcę</w:t>
                  </w:r>
                </w:p>
              </w:tc>
            </w:tr>
            <w:tr w:rsidR="00EE4656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EE4656" w:rsidRPr="00927533" w:rsidRDefault="00EE4656" w:rsidP="00EE4656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EE4656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EE4656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627D28" w:rsidRPr="00927533" w:rsidRDefault="00974634" w:rsidP="0097463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  <w:r w:rsidR="008D30EF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016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, fabrycznie nowy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912A87" w:rsidRPr="00927533" w:rsidTr="001B39BA">
              <w:tc>
                <w:tcPr>
                  <w:tcW w:w="543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912A87" w:rsidRPr="00927533" w:rsidRDefault="00E45BC9" w:rsidP="003D776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844" w:type="dxa"/>
                </w:tcPr>
                <w:p w:rsidR="00912A87" w:rsidRPr="00927533" w:rsidRDefault="00912A8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F31F40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  <w:vMerge w:val="restart"/>
                </w:tcPr>
                <w:p w:rsidR="00627D28" w:rsidRPr="00927533" w:rsidRDefault="00F31F40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627D28" w:rsidRPr="00927533" w:rsidRDefault="00627D28" w:rsidP="004C363B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627D28" w:rsidRPr="00927533" w:rsidRDefault="00EF16D3" w:rsidP="00BF2C10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ie mniejszy niż </w:t>
                  </w:r>
                  <w:r w:rsidR="00E45BC9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65EF5" w:rsidP="00927533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7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ciemna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metaliczna </w:t>
                  </w:r>
                  <w:r w:rsidR="00A612FE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D04D1E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627D28" w:rsidRPr="00927533" w:rsidRDefault="004C363B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O zapłonie iskrowym,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4-suwowy spełniający,</w:t>
                  </w:r>
                  <w:r w:rsidR="00E87B4E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co najmniej normę emisji EURO 6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665EF5" w:rsidP="008D30E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627D28" w:rsidRPr="00927533" w:rsidRDefault="003229EA" w:rsidP="001A261F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627D28" w:rsidRPr="00927533" w:rsidRDefault="002F7BFA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627D28" w:rsidRPr="00927533" w:rsidRDefault="002F7BFA" w:rsidP="00CB1D8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627D28" w:rsidRPr="00927533" w:rsidRDefault="009F33DB" w:rsidP="001A261F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 w:rsidR="00665EF5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="00627D28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927533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14</w:t>
                  </w:r>
                </w:p>
              </w:tc>
              <w:tc>
                <w:tcPr>
                  <w:tcW w:w="2982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927533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c>
                <w:tcPr>
                  <w:tcW w:w="8926" w:type="dxa"/>
                  <w:gridSpan w:val="4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627D28" w:rsidRPr="00927533" w:rsidTr="001B39BA">
              <w:tc>
                <w:tcPr>
                  <w:tcW w:w="543" w:type="dxa"/>
                </w:tcPr>
                <w:p w:rsidR="00627D28" w:rsidRPr="00927533" w:rsidRDefault="00664E77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627D28" w:rsidP="0063374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627D28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627D28" w:rsidRPr="00927533" w:rsidRDefault="00664E77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627D28" w:rsidRPr="00927533" w:rsidRDefault="00627D28" w:rsidP="00633748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627D28" w:rsidRPr="00927533" w:rsidRDefault="00627D28" w:rsidP="008D210E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627D28" w:rsidRPr="00927533" w:rsidRDefault="00627D28" w:rsidP="00633748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627D28" w:rsidRPr="00927533" w:rsidRDefault="00627D28" w:rsidP="00627D28">
            <w:pPr>
              <w:rPr>
                <w:rFonts w:ascii="Cambria" w:hAnsi="Cambria"/>
                <w:sz w:val="20"/>
              </w:rPr>
            </w:pPr>
          </w:p>
        </w:tc>
      </w:tr>
      <w:tr w:rsidR="00012454" w:rsidRPr="00927533" w:rsidTr="001B39BA">
        <w:tc>
          <w:tcPr>
            <w:tcW w:w="9214" w:type="dxa"/>
          </w:tcPr>
          <w:p w:rsidR="00012454" w:rsidRPr="00927533" w:rsidRDefault="00012454" w:rsidP="00627D28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8926" w:type="dxa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 w:rsidR="00665EF5"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Nie mniejsza niż 160 km/h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627D28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kół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ze stopów lekkich 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>z ogumieniem letnim</w:t>
            </w:r>
            <w:r w:rsidR="003229EA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="00EC37F6"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 w:rsidR="00E45BC9"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C30A32" w:rsidRPr="00927533" w:rsidTr="001B39BA">
        <w:tc>
          <w:tcPr>
            <w:tcW w:w="455" w:type="dxa"/>
          </w:tcPr>
          <w:p w:rsidR="00C30A32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21</w:t>
            </w:r>
          </w:p>
        </w:tc>
        <w:tc>
          <w:tcPr>
            <w:tcW w:w="2955" w:type="dxa"/>
          </w:tcPr>
          <w:p w:rsidR="00C30A32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 w:rsidR="00665EF5"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C30A32" w:rsidRPr="00927533" w:rsidRDefault="00C30A32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C30A32" w:rsidRPr="00927533" w:rsidRDefault="00C30A3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Elektrycznie </w:t>
            </w:r>
            <w:r w:rsidR="00344F53" w:rsidRPr="00927533">
              <w:rPr>
                <w:rFonts w:ascii="Cambria" w:eastAsia="Andale Sans UI" w:hAnsi="Cambria"/>
                <w:bCs/>
                <w:kern w:val="1"/>
                <w:sz w:val="20"/>
              </w:rPr>
              <w:t>sterowane szyby w drzwiach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Lusterka zewnętrzne elektrycznie regulowane</w:t>
            </w:r>
            <w:r w:rsidR="00EC37F6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  <w:r w:rsidR="006F3212"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 w:val="restart"/>
            <w:vAlign w:val="center"/>
          </w:tcPr>
          <w:p w:rsidR="00627D28" w:rsidRPr="00927533" w:rsidRDefault="00664E77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 kierowcy – regulowany co najmniej w</w:t>
            </w:r>
            <w:r w:rsidR="00611621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dwóch płaszczyznach (przód-tył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  <w:vMerge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627D28" w:rsidRDefault="006F3212" w:rsidP="000C176A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="00627D2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6F3212" w:rsidRPr="00927533" w:rsidRDefault="006F3212" w:rsidP="000C176A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33</w:t>
            </w:r>
          </w:p>
        </w:tc>
        <w:tc>
          <w:tcPr>
            <w:tcW w:w="2955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 w:rsidR="006F3212"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627D28" w:rsidRPr="00927533" w:rsidRDefault="006F3212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627D28" w:rsidRPr="00927533" w:rsidRDefault="00A612FE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8926" w:type="dxa"/>
            <w:gridSpan w:val="4"/>
          </w:tcPr>
          <w:p w:rsidR="00627D28" w:rsidRPr="00927533" w:rsidRDefault="00627D28" w:rsidP="00664E77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</w:t>
            </w:r>
            <w:r w:rsidR="009074E8" w:rsidRPr="00927533">
              <w:rPr>
                <w:rFonts w:ascii="Cambria" w:eastAsia="Andale Sans UI" w:hAnsi="Cambria"/>
                <w:bCs/>
                <w:kern w:val="1"/>
                <w:sz w:val="20"/>
              </w:rPr>
              <w:t>.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627D28" w:rsidRPr="00927533" w:rsidTr="001B39BA">
        <w:trPr>
          <w:trHeight w:val="3053"/>
        </w:trPr>
        <w:tc>
          <w:tcPr>
            <w:tcW w:w="455" w:type="dxa"/>
          </w:tcPr>
          <w:p w:rsidR="00627D28" w:rsidRPr="00927533" w:rsidRDefault="00664E77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39</w:t>
            </w:r>
          </w:p>
        </w:tc>
        <w:tc>
          <w:tcPr>
            <w:tcW w:w="2955" w:type="dxa"/>
            <w:vAlign w:val="center"/>
          </w:tcPr>
          <w:p w:rsidR="00627D28" w:rsidRPr="00927533" w:rsidRDefault="00627D2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</w:t>
            </w:r>
            <w:r w:rsidR="009074E8"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627D28" w:rsidRPr="00927533" w:rsidRDefault="009074E8" w:rsidP="00664E77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627D28" w:rsidRPr="00927533" w:rsidRDefault="00627D28" w:rsidP="00664E77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927533" w:rsidRPr="00927533" w:rsidTr="001B39BA">
        <w:tc>
          <w:tcPr>
            <w:tcW w:w="8926" w:type="dxa"/>
            <w:gridSpan w:val="4"/>
          </w:tcPr>
          <w:p w:rsidR="00927533" w:rsidRPr="00927533" w:rsidRDefault="00475E8A" w:rsidP="00927533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="00927533"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475E8A" w:rsidRPr="00927533" w:rsidTr="001B39BA">
        <w:tc>
          <w:tcPr>
            <w:tcW w:w="455" w:type="dxa"/>
            <w:vMerge w:val="restart"/>
          </w:tcPr>
          <w:p w:rsidR="00475E8A" w:rsidRPr="00927533" w:rsidRDefault="00B96612" w:rsidP="00927533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8471" w:type="dxa"/>
            <w:gridSpan w:val="3"/>
            <w:vAlign w:val="center"/>
          </w:tcPr>
          <w:p w:rsidR="00475E8A" w:rsidRPr="00927533" w:rsidRDefault="00475E8A" w:rsidP="00927533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 w:rsidR="001A261F"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475E8A" w:rsidRPr="00927533" w:rsidRDefault="00475E8A" w:rsidP="00927533">
            <w:pPr>
              <w:rPr>
                <w:rFonts w:ascii="Cambria" w:hAnsi="Cambria" w:cs="Arial"/>
                <w:sz w:val="20"/>
              </w:rPr>
            </w:pPr>
          </w:p>
          <w:p w:rsidR="00475E8A" w:rsidRDefault="00475E8A" w:rsidP="00927533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 w:rsidR="00564FF5"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 w:rsidR="00564FF5"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776C8A" w:rsidRPr="00776C8A" w:rsidRDefault="00776C8A" w:rsidP="00927533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475E8A" w:rsidRPr="00927533" w:rsidTr="001B39BA">
        <w:tc>
          <w:tcPr>
            <w:tcW w:w="455" w:type="dxa"/>
            <w:vMerge/>
          </w:tcPr>
          <w:p w:rsidR="00475E8A" w:rsidRPr="00927533" w:rsidRDefault="00475E8A" w:rsidP="00927533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475E8A" w:rsidRPr="008030B1" w:rsidRDefault="00475E8A" w:rsidP="00475E8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475E8A" w:rsidRPr="008030B1" w:rsidRDefault="00475E8A" w:rsidP="00475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5E8A" w:rsidRPr="00927533" w:rsidRDefault="00475E8A" w:rsidP="00475E8A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2B5035" w:rsidRPr="002F7BFA" w:rsidRDefault="002F0C26" w:rsidP="002F7BFA">
      <w:pPr>
        <w:pStyle w:val="Nagwek1"/>
        <w:rPr>
          <w:rFonts w:ascii="Cambria" w:hAnsi="Cambria" w:cs="Times New Roman"/>
          <w:sz w:val="20"/>
        </w:rPr>
      </w:pPr>
      <w:r w:rsidRPr="00927533">
        <w:rPr>
          <w:rFonts w:ascii="Cambria" w:hAnsi="Cambria" w:cs="Times New Roman"/>
          <w:sz w:val="20"/>
        </w:rPr>
        <w:t xml:space="preserve"> </w:t>
      </w:r>
    </w:p>
    <w:p w:rsidR="00FF72ED" w:rsidRPr="00927533" w:rsidRDefault="00FF72ED" w:rsidP="00FF72ED">
      <w:pPr>
        <w:widowControl w:val="0"/>
        <w:autoSpaceDE w:val="0"/>
        <w:ind w:left="4860"/>
        <w:rPr>
          <w:rFonts w:ascii="Cambria" w:hAnsi="Cambria"/>
          <w:i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222"/>
      </w:tblGrid>
      <w:tr w:rsidR="001B39BA" w:rsidRPr="00927533" w:rsidTr="001B39BA">
        <w:tc>
          <w:tcPr>
            <w:tcW w:w="8848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Pr="00012454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Default="001B39BA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1B39BA" w:rsidRPr="00927533" w:rsidRDefault="001B39BA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II – Zakup i dostawa samochodu osobowego dla Domu Pomocy Społecznej w Gnojnie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642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560"/>
            </w:tblGrid>
            <w:tr w:rsidR="001B39BA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Wymagania minimalne</w:t>
                  </w:r>
                </w:p>
              </w:tc>
              <w:tc>
                <w:tcPr>
                  <w:tcW w:w="1560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 przez Wykonawcę</w:t>
                  </w:r>
                </w:p>
              </w:tc>
            </w:tr>
            <w:tr w:rsidR="001B39BA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2016, fabrycznie nowy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  <w:vMerge w:val="restart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Nie mniejszy niż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7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jasna metaliczna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 zapłonie iskrowym, 4-suwowy spełniający, co najmniej normę emisji EURO 6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lastRenderedPageBreak/>
                    <w:t>14</w:t>
                  </w:r>
                </w:p>
              </w:tc>
              <w:tc>
                <w:tcPr>
                  <w:tcW w:w="2982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c>
                <w:tcPr>
                  <w:tcW w:w="8642" w:type="dxa"/>
                  <w:gridSpan w:val="4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1B39BA" w:rsidRPr="00927533" w:rsidTr="001B39BA"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1B39BA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1B39BA" w:rsidRPr="00927533" w:rsidRDefault="001B39BA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560" w:type="dxa"/>
                </w:tcPr>
                <w:p w:rsidR="001B39BA" w:rsidRPr="00927533" w:rsidRDefault="001B39BA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1B39BA" w:rsidRPr="00927533" w:rsidRDefault="001B39BA" w:rsidP="0001245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22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</w:tr>
      <w:tr w:rsidR="001B39BA" w:rsidRPr="00927533" w:rsidTr="001B39BA">
        <w:tc>
          <w:tcPr>
            <w:tcW w:w="8848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222" w:type="dxa"/>
          </w:tcPr>
          <w:p w:rsidR="001B39BA" w:rsidRDefault="001B39BA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</w:tc>
      </w:tr>
      <w:tr w:rsidR="001B39BA" w:rsidRPr="00927533" w:rsidTr="001B39BA">
        <w:tc>
          <w:tcPr>
            <w:tcW w:w="8848" w:type="dxa"/>
          </w:tcPr>
          <w:p w:rsidR="001B39BA" w:rsidRPr="00927533" w:rsidRDefault="001B39BA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222" w:type="dxa"/>
          </w:tcPr>
          <w:p w:rsidR="001B39BA" w:rsidRPr="00927533" w:rsidRDefault="001B39BA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0" w:type="auto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Nie mniejsza niż 160 km/h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 kół ze stopów lekkich z ogumieniem letnim</w:t>
            </w:r>
            <w:r w:rsidR="00B96612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Elektrycznie sterowane szyby w drzwiach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Lusterka zewnętrzne elektrycznie regulowane 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 w:val="restart"/>
            <w:vAlign w:val="center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 kierowcy – regulowany co najmniej w dwóch płaszczyznach (przód-tył,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012454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33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szt.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rPr>
          <w:trHeight w:val="3053"/>
        </w:trPr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39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012454" w:rsidRPr="00927533" w:rsidTr="001B39BA">
        <w:tc>
          <w:tcPr>
            <w:tcW w:w="455" w:type="dxa"/>
            <w:vMerge w:val="restart"/>
          </w:tcPr>
          <w:p w:rsidR="00012454" w:rsidRPr="00927533" w:rsidRDefault="00B96612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8471" w:type="dxa"/>
            <w:gridSpan w:val="3"/>
            <w:vAlign w:val="center"/>
          </w:tcPr>
          <w:p w:rsidR="00012454" w:rsidRPr="00927533" w:rsidRDefault="00012454" w:rsidP="00012454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012454" w:rsidRPr="00927533" w:rsidRDefault="00012454" w:rsidP="00012454">
            <w:pPr>
              <w:rPr>
                <w:rFonts w:ascii="Cambria" w:hAnsi="Cambria" w:cs="Arial"/>
                <w:sz w:val="20"/>
              </w:rPr>
            </w:pPr>
          </w:p>
          <w:p w:rsidR="00012454" w:rsidRDefault="00012454" w:rsidP="00012454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012454" w:rsidRPr="00776C8A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012454" w:rsidRPr="008030B1" w:rsidRDefault="00012454" w:rsidP="000124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012454" w:rsidRPr="008030B1" w:rsidRDefault="00012454" w:rsidP="00012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454" w:rsidRPr="00927533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012454" w:rsidRPr="00927533" w:rsidTr="00012454">
        <w:tc>
          <w:tcPr>
            <w:tcW w:w="9070" w:type="dxa"/>
          </w:tcPr>
          <w:p w:rsidR="00012454" w:rsidRPr="00012454" w:rsidRDefault="00012454" w:rsidP="00012454">
            <w:pPr>
              <w:widowControl w:val="0"/>
              <w:autoSpaceDE w:val="0"/>
              <w:jc w:val="both"/>
              <w:rPr>
                <w:rFonts w:ascii="Cambria" w:hAnsi="Cambria"/>
                <w:sz w:val="20"/>
              </w:rPr>
            </w:pPr>
          </w:p>
          <w:p w:rsidR="00012454" w:rsidRDefault="00012454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</w:p>
          <w:p w:rsidR="00012454" w:rsidRPr="00927533" w:rsidRDefault="00012454" w:rsidP="00012454">
            <w:pPr>
              <w:widowControl w:val="0"/>
              <w:tabs>
                <w:tab w:val="left" w:pos="4608"/>
              </w:tabs>
              <w:rPr>
                <w:rFonts w:ascii="Cambria" w:hAnsi="Cambria"/>
                <w:b/>
                <w:color w:val="000000"/>
                <w:sz w:val="20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>Część II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I</w:t>
            </w:r>
            <w:r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– Zakup i d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ostawa samochodu osobowego dla Specjalnego Ośrodka Szkolno-Wychowawczego Dla Niepełnosprawnych Ruchowo w Busku</w:t>
            </w:r>
            <w:r w:rsidR="005C6C4A">
              <w:rPr>
                <w:rFonts w:ascii="Cambria" w:hAnsi="Cambria"/>
                <w:b/>
                <w:color w:val="000000"/>
                <w:sz w:val="20"/>
                <w:lang w:eastAsia="pl-PL"/>
              </w:rPr>
              <w:t xml:space="preserve"> </w:t>
            </w:r>
            <w:r w:rsidR="000559D4">
              <w:rPr>
                <w:rFonts w:ascii="Cambria" w:hAnsi="Cambria"/>
                <w:b/>
                <w:color w:val="000000"/>
                <w:sz w:val="20"/>
                <w:lang w:eastAsia="pl-PL"/>
              </w:rPr>
              <w:t>-Zdroju</w:t>
            </w:r>
          </w:p>
          <w:tbl>
            <w:tblPr>
              <w:tblStyle w:val="Tabela-Siatka1"/>
              <w:tblpPr w:leftFromText="141" w:rightFromText="141" w:vertAnchor="text" w:horzAnchor="margin" w:tblpY="153"/>
              <w:tblW w:w="8926" w:type="dxa"/>
              <w:tblLook w:val="04A0" w:firstRow="1" w:lastRow="0" w:firstColumn="1" w:lastColumn="0" w:noHBand="0" w:noVBand="1"/>
            </w:tblPr>
            <w:tblGrid>
              <w:gridCol w:w="543"/>
              <w:gridCol w:w="2982"/>
              <w:gridCol w:w="3557"/>
              <w:gridCol w:w="1844"/>
            </w:tblGrid>
            <w:tr w:rsidR="00012454" w:rsidRPr="00927533" w:rsidTr="001B39BA">
              <w:trPr>
                <w:trHeight w:val="699"/>
              </w:trPr>
              <w:tc>
                <w:tcPr>
                  <w:tcW w:w="543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Lp.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Parametr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Wymagania minimalne</w:t>
                  </w:r>
                </w:p>
              </w:tc>
              <w:tc>
                <w:tcPr>
                  <w:tcW w:w="1844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i/>
                      <w:kern w:val="1"/>
                      <w:sz w:val="20"/>
                    </w:rPr>
                    <w:t>Oferowane przez Wykonawcę</w:t>
                  </w:r>
                </w:p>
              </w:tc>
            </w:tr>
            <w:tr w:rsidR="00012454" w:rsidRPr="00927533" w:rsidTr="001B39BA">
              <w:trPr>
                <w:trHeight w:val="558"/>
              </w:trPr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Marka i model oferowanego samochodu </w:t>
                  </w:r>
                </w:p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Rok produkcji samochodu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2016, fabrycznie nowy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Rodzaj paliwa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Olej napędowy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nadwozia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Kategoria pojazdu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bscript"/>
                    </w:rPr>
                    <w:t>1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  <w:vMerge w:val="restart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Wymiary pojazdu: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rPr>
                <w:trHeight w:val="160"/>
              </w:trPr>
              <w:tc>
                <w:tcPr>
                  <w:tcW w:w="543" w:type="dxa"/>
                  <w:vMerge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rozstaw osi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Nie mniejszy niż 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3400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mm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Drzwi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Boczne przesuwne z prawej strony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lastRenderedPageBreak/>
                    <w:t>7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Barwa nadwozia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ciemna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metaliczna </w:t>
                  </w:r>
                  <w:r w:rsidR="00012454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lub akrylowa, samochód 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Typ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Bus 9 osobowy (8+1)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silnika i układu zasilania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Silnik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O zapłonie iskrowym, 4-suwowy spełniający, co najmniej normę emisji EURO 6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Maksymalna Moc netto silnika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75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kW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Pojemność silnika</w:t>
                  </w:r>
                </w:p>
              </w:tc>
              <w:tc>
                <w:tcPr>
                  <w:tcW w:w="3557" w:type="dxa"/>
                </w:tcPr>
                <w:p w:rsidR="00012454" w:rsidRPr="00927533" w:rsidRDefault="00B96612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Nie mniejsza niż 195</w:t>
                  </w:r>
                  <w:r w:rsidR="00012454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0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cm</w:t>
                  </w:r>
                  <w:r w:rsidR="00012454"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Zużycie paliwa w cyklu mieszanym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Max. 8,5 l/100 km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br/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Pojemność zbiornika paliwa </w:t>
                  </w:r>
                </w:p>
              </w:tc>
              <w:tc>
                <w:tcPr>
                  <w:tcW w:w="3557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N</w:t>
                  </w:r>
                  <w:r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ie mniejsza niż 70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 xml:space="preserve"> dm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t xml:space="preserve">3 </w:t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  <w:vertAlign w:val="superscript"/>
                    </w:rPr>
                    <w:br/>
                  </w: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(wg deklaracji producenta)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Warunki techniczne dla układu hamulcowego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14</w:t>
                  </w:r>
                </w:p>
              </w:tc>
              <w:tc>
                <w:tcPr>
                  <w:tcW w:w="2982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Wyposażenie w układ zapobiegający blokowaniu kół np. ABS lub równoważny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jc w:val="both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c>
                <w:tcPr>
                  <w:tcW w:w="8926" w:type="dxa"/>
                  <w:gridSpan w:val="4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/>
                      <w:bCs/>
                      <w:kern w:val="1"/>
                      <w:sz w:val="20"/>
                    </w:rPr>
                    <w:t>Wymagania techniczne dla układu kierowniczego</w:t>
                  </w:r>
                </w:p>
              </w:tc>
            </w:tr>
            <w:tr w:rsidR="00012454" w:rsidRPr="00927533" w:rsidTr="001B39BA"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Regulacja kolumny kierowniczej minimum w jednej płaszczyźnie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  <w:tr w:rsidR="00012454" w:rsidRPr="00927533" w:rsidTr="001B39BA">
              <w:trPr>
                <w:trHeight w:val="703"/>
              </w:trPr>
              <w:tc>
                <w:tcPr>
                  <w:tcW w:w="543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2982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Wspomaganie układu kierowniczego</w:t>
                  </w:r>
                </w:p>
              </w:tc>
              <w:tc>
                <w:tcPr>
                  <w:tcW w:w="3557" w:type="dxa"/>
                  <w:vAlign w:val="center"/>
                </w:tcPr>
                <w:p w:rsidR="00012454" w:rsidRPr="00927533" w:rsidRDefault="00012454" w:rsidP="00012454">
                  <w:pPr>
                    <w:keepNext/>
                    <w:widowControl w:val="0"/>
                    <w:jc w:val="left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  <w:r w:rsidRPr="00927533"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  <w:t>TAK</w:t>
                  </w:r>
                </w:p>
              </w:tc>
              <w:tc>
                <w:tcPr>
                  <w:tcW w:w="1844" w:type="dxa"/>
                </w:tcPr>
                <w:p w:rsidR="00012454" w:rsidRPr="00927533" w:rsidRDefault="00012454" w:rsidP="00012454">
                  <w:pPr>
                    <w:keepNext/>
                    <w:widowControl w:val="0"/>
                    <w:outlineLvl w:val="3"/>
                    <w:rPr>
                      <w:rFonts w:ascii="Cambria" w:eastAsia="Andale Sans UI" w:hAnsi="Cambria"/>
                      <w:bCs/>
                      <w:kern w:val="1"/>
                      <w:sz w:val="20"/>
                    </w:rPr>
                  </w:pPr>
                </w:p>
              </w:tc>
            </w:tr>
          </w:tbl>
          <w:p w:rsidR="00012454" w:rsidRPr="00927533" w:rsidRDefault="00012454" w:rsidP="00012454">
            <w:pPr>
              <w:rPr>
                <w:rFonts w:ascii="Cambria" w:hAnsi="Cambria"/>
                <w:sz w:val="20"/>
              </w:rPr>
            </w:pPr>
          </w:p>
        </w:tc>
      </w:tr>
      <w:tr w:rsidR="00012454" w:rsidRPr="00927533" w:rsidTr="00012454">
        <w:tc>
          <w:tcPr>
            <w:tcW w:w="9070" w:type="dxa"/>
          </w:tcPr>
          <w:p w:rsidR="00012454" w:rsidRPr="00927533" w:rsidRDefault="00012454" w:rsidP="00012454">
            <w:pPr>
              <w:widowControl w:val="0"/>
              <w:autoSpaceDE w:val="0"/>
              <w:jc w:val="right"/>
              <w:rPr>
                <w:rFonts w:ascii="Cambria" w:hAnsi="Cambria"/>
                <w:b/>
                <w:sz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="108" w:tblpY="71"/>
        <w:tblW w:w="0" w:type="auto"/>
        <w:tblLook w:val="04A0" w:firstRow="1" w:lastRow="0" w:firstColumn="1" w:lastColumn="0" w:noHBand="0" w:noVBand="1"/>
      </w:tblPr>
      <w:tblGrid>
        <w:gridCol w:w="455"/>
        <w:gridCol w:w="2955"/>
        <w:gridCol w:w="3522"/>
        <w:gridCol w:w="1994"/>
      </w:tblGrid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układu napędowego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Skrzynia biegów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Manualna w pełni synchronizowana, nie mniej niż 5 stopniowa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Przeniesienie napędu 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a  koła przednie lub 4x4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19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Prędkość maksymalna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Nie mniejsza niż 160 km/h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kół jezdnych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Obręcze kół ze stopów lekkich z ogumieniem letnim</w:t>
            </w:r>
            <w:r w:rsidR="00B96612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”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o szerokości min.205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Komplet opon zimowych z felgami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stalowymi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min. 16”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4 szt.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Zapasowe koło dojazdowe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Opony nie mogą być starsze niż 52 tygodnie licząc od dnia odbioru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instalacji elektrycznej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24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Instalacja elektryczna o napięciu znamionowym 12V DC („-„ na masie)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Oświetlenie wnętrza przestrzeni bagażowej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techniczne dla wyposażenia fabrycznego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26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Trzypunktowe pasy bezpieczeństwa z regulacją górnego punktu kotwiczenia i napinaczami dla foteli przednich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27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Poduszki gazowe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28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Elektrycznie sterowane szyby w drzwiach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29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Lusterka zewnętrzne elektrycznie regulowane 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i ogrzewane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 w:val="restart"/>
            <w:vAlign w:val="center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30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Fotele: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Fotel kierowcy – regulowany co najmniej w dwóch 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płaszczyznach (przód-tył, góra-dół) oraz regulacja oparcia fotela w zakresie pochylenia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lastRenderedPageBreak/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foteli i kanapy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31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Tapicerka drzwi i podłogi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ciemna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32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Klimatyzacja </w:t>
            </w:r>
          </w:p>
        </w:tc>
        <w:tc>
          <w:tcPr>
            <w:tcW w:w="3522" w:type="dxa"/>
            <w:vAlign w:val="center"/>
          </w:tcPr>
          <w:p w:rsidR="00012454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Z regulacją i nawiewem w przedziale kierowcy i przewietrzaniem przestrzeni pasażerskiej (nadmuch na I </w:t>
            </w:r>
            <w:proofErr w:type="spellStart"/>
            <w:r>
              <w:rPr>
                <w:rFonts w:ascii="Cambria" w:eastAsia="Andale Sans UI" w:hAnsi="Cambria"/>
                <w:bCs/>
                <w:kern w:val="1"/>
                <w:sz w:val="20"/>
              </w:rPr>
              <w:t>i</w:t>
            </w:r>
            <w:proofErr w:type="spellEnd"/>
            <w:r>
              <w:rPr>
                <w:rFonts w:ascii="Cambria" w:eastAsia="Andale Sans UI" w:hAnsi="Cambria"/>
                <w:bCs/>
                <w:kern w:val="1"/>
                <w:sz w:val="20"/>
              </w:rPr>
              <w:t xml:space="preserve"> II rząd siedzeń przestrzeni pasażerskiej)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 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Ogrzewanie przestrzeni pasażerskiej – drugi wymiennik ciepła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33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Radioodbiornik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 odtwarzaczem CD, wyposażony w co najmniej 2 głośniki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34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Centraln</w:t>
            </w:r>
            <w:r>
              <w:rPr>
                <w:rFonts w:ascii="Cambria" w:eastAsia="Andale Sans UI" w:hAnsi="Cambria"/>
                <w:bCs/>
                <w:kern w:val="1"/>
                <w:sz w:val="20"/>
              </w:rPr>
              <w:t>y zamek sterowany pilotem z możliwością uruchamiania od wewnątrz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35</w:t>
            </w:r>
          </w:p>
        </w:tc>
        <w:tc>
          <w:tcPr>
            <w:tcW w:w="29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Podłoga wyłożona wykładziną zmywalną -  antypoślizgową</w:t>
            </w:r>
          </w:p>
        </w:tc>
        <w:tc>
          <w:tcPr>
            <w:tcW w:w="3522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keepNext/>
              <w:widowControl w:val="0"/>
              <w:outlineLvl w:val="3"/>
              <w:rPr>
                <w:rFonts w:ascii="Cambria" w:eastAsia="Andale Sans UI" w:hAnsi="Cambria"/>
                <w:b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/>
                <w:bCs/>
                <w:kern w:val="1"/>
                <w:sz w:val="20"/>
              </w:rPr>
              <w:t>Wymagania dla wyposażenia dodatkowego pojazdu</w:t>
            </w: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36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Gaśnica proszkowa typu samochodowego o masie środka gaśniczego 1kg posiadająca odpowiedni certyfikat CNBOP – 1 szt.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br/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37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Apteczka samochodowa z wyposażeniem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38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 xml:space="preserve">Trójkąt ostrzegawczy 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rPr>
          <w:trHeight w:val="3053"/>
        </w:trPr>
        <w:tc>
          <w:tcPr>
            <w:tcW w:w="455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39</w:t>
            </w:r>
          </w:p>
        </w:tc>
        <w:tc>
          <w:tcPr>
            <w:tcW w:w="2955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Zestaw podręcznych narzędzi, w którego skład wchodzi co najmniej:  Podnośnik samochodowy, klucz do kół, wkrętak dwustronny dostosowany do wkrętów zastosowanych w pojeździe  (np. gwiazdkowy i płaski), klucz umożliwiający odłączenie zacisków akumulatorów</w:t>
            </w:r>
          </w:p>
        </w:tc>
        <w:tc>
          <w:tcPr>
            <w:tcW w:w="3522" w:type="dxa"/>
            <w:vAlign w:val="center"/>
          </w:tcPr>
          <w:p w:rsidR="00012454" w:rsidRPr="00927533" w:rsidRDefault="00012454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 w:rsidRPr="00927533"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8F782B" w:rsidRPr="00927533" w:rsidTr="008F782B">
        <w:trPr>
          <w:trHeight w:val="499"/>
        </w:trPr>
        <w:tc>
          <w:tcPr>
            <w:tcW w:w="455" w:type="dxa"/>
          </w:tcPr>
          <w:p w:rsidR="008F782B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40</w:t>
            </w:r>
          </w:p>
        </w:tc>
        <w:tc>
          <w:tcPr>
            <w:tcW w:w="2955" w:type="dxa"/>
            <w:vAlign w:val="center"/>
          </w:tcPr>
          <w:p w:rsidR="008F782B" w:rsidRPr="00927533" w:rsidRDefault="008F782B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Przystosowanie do przewozu 1 osoby na wózku inwalidzkim plus najazdy</w:t>
            </w:r>
          </w:p>
        </w:tc>
        <w:tc>
          <w:tcPr>
            <w:tcW w:w="3522" w:type="dxa"/>
            <w:vAlign w:val="center"/>
          </w:tcPr>
          <w:p w:rsidR="008F782B" w:rsidRPr="00927533" w:rsidRDefault="008F782B" w:rsidP="00012454">
            <w:pPr>
              <w:keepNext/>
              <w:widowControl w:val="0"/>
              <w:jc w:val="left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TAK</w:t>
            </w:r>
          </w:p>
        </w:tc>
        <w:tc>
          <w:tcPr>
            <w:tcW w:w="1994" w:type="dxa"/>
          </w:tcPr>
          <w:p w:rsidR="008F782B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</w:tr>
      <w:tr w:rsidR="00012454" w:rsidRPr="00927533" w:rsidTr="001B39BA">
        <w:tc>
          <w:tcPr>
            <w:tcW w:w="8926" w:type="dxa"/>
            <w:gridSpan w:val="4"/>
          </w:tcPr>
          <w:p w:rsidR="00012454" w:rsidRPr="00927533" w:rsidRDefault="00012454" w:rsidP="00012454">
            <w:pPr>
              <w:suppressAutoHyphens w:val="0"/>
              <w:rPr>
                <w:rFonts w:ascii="Cambria" w:hAnsi="Cambria"/>
                <w:sz w:val="20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sz w:val="20"/>
              </w:rPr>
              <w:t>W</w:t>
            </w:r>
            <w:r w:rsidRPr="00927533">
              <w:rPr>
                <w:rFonts w:ascii="Cambria" w:eastAsia="Arial Unicode MS" w:hAnsi="Cambria" w:cs="Arial"/>
                <w:b/>
                <w:sz w:val="20"/>
              </w:rPr>
              <w:t>ymagane kryteria oferowanego pojazdu</w:t>
            </w:r>
          </w:p>
        </w:tc>
      </w:tr>
      <w:tr w:rsidR="00012454" w:rsidRPr="00927533" w:rsidTr="001B39BA">
        <w:tc>
          <w:tcPr>
            <w:tcW w:w="455" w:type="dxa"/>
            <w:vMerge w:val="restart"/>
          </w:tcPr>
          <w:p w:rsidR="00012454" w:rsidRPr="00927533" w:rsidRDefault="008F782B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  <w:r>
              <w:rPr>
                <w:rFonts w:ascii="Cambria" w:eastAsia="Andale Sans UI" w:hAnsi="Cambria"/>
                <w:bCs/>
                <w:kern w:val="1"/>
                <w:sz w:val="20"/>
              </w:rPr>
              <w:t>41</w:t>
            </w:r>
          </w:p>
        </w:tc>
        <w:tc>
          <w:tcPr>
            <w:tcW w:w="8471" w:type="dxa"/>
            <w:gridSpan w:val="3"/>
            <w:vAlign w:val="center"/>
          </w:tcPr>
          <w:p w:rsidR="00012454" w:rsidRPr="00927533" w:rsidRDefault="00012454" w:rsidP="00012454">
            <w:pPr>
              <w:jc w:val="both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 xml:space="preserve">ZUŻYCIE ENERGII </w:t>
            </w:r>
            <w:r w:rsidRPr="00927533">
              <w:rPr>
                <w:rFonts w:ascii="Cambria" w:hAnsi="Cambria" w:cs="Arial"/>
                <w:sz w:val="20"/>
              </w:rPr>
              <w:t>(wyrażone w MJ/km - z dokładnością do dwóch  miejsc po przecinku) zużycie energii nie większe niż 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>3,</w:t>
            </w:r>
            <w:r>
              <w:rPr>
                <w:rStyle w:val="Pogrubienie"/>
                <w:rFonts w:ascii="Cambria" w:hAnsi="Cambria" w:cs="Arial"/>
                <w:sz w:val="20"/>
              </w:rPr>
              <w:t>60</w:t>
            </w:r>
            <w:r w:rsidRPr="00927533">
              <w:rPr>
                <w:rStyle w:val="Pogrubienie"/>
                <w:rFonts w:ascii="Cambria" w:hAnsi="Cambria" w:cs="Arial"/>
                <w:sz w:val="20"/>
              </w:rPr>
              <w:t xml:space="preserve"> </w:t>
            </w:r>
            <w:r w:rsidRPr="00927533">
              <w:rPr>
                <w:rFonts w:ascii="Cambria" w:hAnsi="Cambria" w:cs="Arial"/>
                <w:sz w:val="20"/>
              </w:rPr>
              <w:t xml:space="preserve"> MJ/km</w:t>
            </w:r>
          </w:p>
          <w:p w:rsidR="00012454" w:rsidRPr="00927533" w:rsidRDefault="00012454" w:rsidP="00012454">
            <w:pPr>
              <w:rPr>
                <w:rFonts w:ascii="Cambria" w:hAnsi="Cambria" w:cs="Arial"/>
                <w:sz w:val="20"/>
              </w:rPr>
            </w:pPr>
          </w:p>
          <w:p w:rsidR="00012454" w:rsidRDefault="00012454" w:rsidP="00012454">
            <w:pPr>
              <w:suppressAutoHyphens w:val="0"/>
              <w:jc w:val="left"/>
              <w:rPr>
                <w:rFonts w:ascii="Cambria" w:hAnsi="Cambria" w:cs="Arial"/>
                <w:sz w:val="20"/>
              </w:rPr>
            </w:pPr>
            <w:r w:rsidRPr="00927533">
              <w:rPr>
                <w:rFonts w:ascii="Cambria" w:hAnsi="Cambria" w:cs="Arial"/>
                <w:b/>
                <w:bCs/>
                <w:sz w:val="20"/>
              </w:rPr>
              <w:t>EMISJA ZANIECZYSZCZEŃ</w:t>
            </w:r>
            <w:r>
              <w:rPr>
                <w:rFonts w:ascii="Cambria" w:hAnsi="Cambria" w:cs="Arial"/>
                <w:b/>
                <w:bCs/>
                <w:sz w:val="20"/>
              </w:rPr>
              <w:t>/</w:t>
            </w:r>
            <w:r w:rsidRPr="00927533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 xml:space="preserve"> EMISJA DWUTKLENKU WĘGLA </w:t>
            </w:r>
            <w:r w:rsidRPr="00927533">
              <w:rPr>
                <w:rFonts w:ascii="Cambria" w:hAnsi="Cambria" w:cs="Arial"/>
                <w:sz w:val="20"/>
              </w:rPr>
              <w:t xml:space="preserve">– EURO </w:t>
            </w:r>
            <w:r>
              <w:rPr>
                <w:rFonts w:ascii="Cambria" w:hAnsi="Cambria" w:cs="Arial"/>
                <w:sz w:val="20"/>
              </w:rPr>
              <w:t>6</w:t>
            </w:r>
          </w:p>
          <w:p w:rsidR="00012454" w:rsidRPr="00776C8A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</w:p>
        </w:tc>
      </w:tr>
      <w:tr w:rsidR="00012454" w:rsidRPr="00927533" w:rsidTr="001B39BA">
        <w:tc>
          <w:tcPr>
            <w:tcW w:w="455" w:type="dxa"/>
            <w:vMerge/>
          </w:tcPr>
          <w:p w:rsidR="00012454" w:rsidRPr="00927533" w:rsidRDefault="00012454" w:rsidP="00012454">
            <w:pPr>
              <w:keepNext/>
              <w:widowControl w:val="0"/>
              <w:jc w:val="both"/>
              <w:outlineLvl w:val="3"/>
              <w:rPr>
                <w:rFonts w:ascii="Cambria" w:eastAsia="Andale Sans UI" w:hAnsi="Cambria"/>
                <w:bCs/>
                <w:kern w:val="1"/>
                <w:sz w:val="20"/>
              </w:rPr>
            </w:pPr>
          </w:p>
        </w:tc>
        <w:tc>
          <w:tcPr>
            <w:tcW w:w="8471" w:type="dxa"/>
            <w:gridSpan w:val="3"/>
            <w:vAlign w:val="center"/>
          </w:tcPr>
          <w:p w:rsidR="00012454" w:rsidRPr="008030B1" w:rsidRDefault="00012454" w:rsidP="0001245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0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Samochód musi spełniać wymagania techniczne określone przez obowiązujące w Polsce przepisy dla pojazdów poruszających się po drogach publicznych, w tym warunki techniczne wynikające z ustawy z dnia 20 czerwca 1997r. Prawo o ruchu drogowym ( teks jednolity Dz. U. z 2005r. nr 108, poz. 908 z p. zm.) oraz rozporządzeń wykonawczych do tej ustawy w tym posiadać homologację, wystawioną zgodnie z art. 68 ustawy Prawo o ruchu drogowym. </w:t>
            </w:r>
          </w:p>
          <w:p w:rsidR="00012454" w:rsidRPr="008030B1" w:rsidRDefault="00012454" w:rsidP="000124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454" w:rsidRPr="00927533" w:rsidRDefault="00012454" w:rsidP="00012454">
            <w:pPr>
              <w:suppressAutoHyphens w:val="0"/>
              <w:jc w:val="left"/>
              <w:rPr>
                <w:rFonts w:ascii="Cambria" w:hAnsi="Cambria"/>
                <w:sz w:val="20"/>
                <w:lang w:eastAsia="pl-PL"/>
              </w:rPr>
            </w:pPr>
            <w:r w:rsidRPr="008030B1">
              <w:rPr>
                <w:rFonts w:ascii="Arial" w:hAnsi="Arial" w:cs="Arial"/>
                <w:b/>
                <w:sz w:val="18"/>
                <w:szCs w:val="18"/>
              </w:rPr>
              <w:t>W opisie przedmiotu zamówienia  uwzględniono wymogi wynikające z Rozporządzenia Prezesa Rady Ministrów z dnia 10 maja 2011r. w sprawie innych niż cena obowiązkowych kryteriów oceny ofert w odniesieniu do niektórych rodzajów zamówień publicznych (Dz. U. z 2011r. Nr 96, poz. 559)</w:t>
            </w:r>
          </w:p>
        </w:tc>
      </w:tr>
    </w:tbl>
    <w:p w:rsidR="001B39BA" w:rsidRDefault="001B39BA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</w:p>
    <w:p w:rsidR="001B39BA" w:rsidRDefault="001B39BA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</w:p>
    <w:p w:rsidR="000559D4" w:rsidRPr="00927533" w:rsidRDefault="000559D4" w:rsidP="000559D4">
      <w:pPr>
        <w:widowControl w:val="0"/>
        <w:tabs>
          <w:tab w:val="left" w:pos="900"/>
        </w:tabs>
        <w:spacing w:after="120"/>
        <w:jc w:val="both"/>
        <w:rPr>
          <w:rFonts w:ascii="Cambria" w:eastAsia="Andale Sans UI" w:hAnsi="Cambria"/>
          <w:b/>
          <w:bCs/>
          <w:kern w:val="1"/>
          <w:sz w:val="20"/>
        </w:rPr>
      </w:pPr>
      <w:bookmarkStart w:id="0" w:name="_GoBack"/>
      <w:bookmarkEnd w:id="0"/>
      <w:r>
        <w:rPr>
          <w:rFonts w:ascii="Cambria" w:eastAsia="Andale Sans UI" w:hAnsi="Cambria"/>
          <w:b/>
          <w:bCs/>
          <w:kern w:val="1"/>
          <w:sz w:val="20"/>
        </w:rPr>
        <w:lastRenderedPageBreak/>
        <w:t>1</w:t>
      </w:r>
      <w:r w:rsidRPr="00927533">
        <w:rPr>
          <w:rFonts w:ascii="Cambria" w:eastAsia="Andale Sans UI" w:hAnsi="Cambria"/>
          <w:b/>
          <w:bCs/>
          <w:kern w:val="1"/>
          <w:sz w:val="20"/>
        </w:rPr>
        <w:t xml:space="preserve">. Gwarancja wraz z serwisem samochodu 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</w:rPr>
      </w:pPr>
      <w:r>
        <w:rPr>
          <w:rFonts w:ascii="Cambria" w:eastAsia="Andale Sans UI" w:hAnsi="Cambria"/>
          <w:bCs/>
          <w:kern w:val="1"/>
          <w:sz w:val="20"/>
        </w:rPr>
        <w:t>1</w:t>
      </w:r>
      <w:r w:rsidRPr="00927533">
        <w:rPr>
          <w:rFonts w:ascii="Cambria" w:eastAsia="Andale Sans UI" w:hAnsi="Cambria"/>
          <w:bCs/>
          <w:kern w:val="1"/>
          <w:sz w:val="20"/>
        </w:rPr>
        <w:t>.1 Wykonawca zobowiązuje się do udzielenia gwarancji pojazdu: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  <w:u w:val="single"/>
        </w:rPr>
      </w:pPr>
    </w:p>
    <w:p w:rsidR="000559D4" w:rsidRPr="00927533" w:rsidRDefault="000559D4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>na podzespoły mechaniczne, elektryczne i elektroniczne pojazdu – 24 miesięcy lub na 50 000 km</w:t>
      </w:r>
    </w:p>
    <w:p w:rsidR="000559D4" w:rsidRPr="00927533" w:rsidRDefault="000559D4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>na powłokę lakierniczą – 24 miesiące  bez limitu kilometrów</w:t>
      </w:r>
    </w:p>
    <w:p w:rsidR="000559D4" w:rsidRPr="00927533" w:rsidRDefault="000559D4" w:rsidP="000559D4">
      <w:pPr>
        <w:widowControl w:val="0"/>
        <w:numPr>
          <w:ilvl w:val="0"/>
          <w:numId w:val="8"/>
        </w:numPr>
        <w:tabs>
          <w:tab w:val="left" w:pos="900"/>
        </w:tabs>
        <w:suppressAutoHyphens w:val="0"/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>na perforację elementów nadwozia – 72 miesiące bez limitu kilometrów</w:t>
      </w:r>
    </w:p>
    <w:p w:rsidR="000559D4" w:rsidRPr="00927533" w:rsidRDefault="000559D4" w:rsidP="000559D4">
      <w:pPr>
        <w:widowControl w:val="0"/>
        <w:tabs>
          <w:tab w:val="left" w:pos="900"/>
        </w:tabs>
        <w:jc w:val="both"/>
        <w:rPr>
          <w:rFonts w:ascii="Cambria" w:eastAsia="Andale Sans UI" w:hAnsi="Cambria"/>
          <w:bCs/>
          <w:kern w:val="1"/>
          <w:sz w:val="20"/>
        </w:rPr>
      </w:pPr>
      <w:r w:rsidRPr="00927533">
        <w:rPr>
          <w:rFonts w:ascii="Cambria" w:eastAsia="Andale Sans UI" w:hAnsi="Cambria"/>
          <w:bCs/>
          <w:kern w:val="1"/>
          <w:sz w:val="20"/>
        </w:rPr>
        <w:t xml:space="preserve">Gwarancja liczona będzie od dnia przekazania pojazdu Zamawiającemu. </w:t>
      </w:r>
    </w:p>
    <w:p w:rsidR="000559D4" w:rsidRPr="00927533" w:rsidRDefault="000559D4" w:rsidP="000559D4">
      <w:pPr>
        <w:widowControl w:val="0"/>
        <w:tabs>
          <w:tab w:val="left" w:pos="345"/>
        </w:tabs>
        <w:jc w:val="both"/>
        <w:rPr>
          <w:rFonts w:ascii="Cambria" w:eastAsia="Andale Sans UI" w:hAnsi="Cambria"/>
          <w:kern w:val="1"/>
          <w:sz w:val="20"/>
        </w:rPr>
      </w:pPr>
      <w:r w:rsidRPr="00927533">
        <w:rPr>
          <w:rFonts w:ascii="Cambria" w:eastAsia="Andale Sans UI" w:hAnsi="Cambria"/>
          <w:kern w:val="1"/>
          <w:sz w:val="20"/>
        </w:rPr>
        <w:t>Okres rękojmi za wady równy jest okresowi gwarancji.</w:t>
      </w:r>
    </w:p>
    <w:p w:rsidR="000559D4" w:rsidRPr="00927533" w:rsidRDefault="000559D4" w:rsidP="000559D4">
      <w:pPr>
        <w:widowControl w:val="0"/>
        <w:tabs>
          <w:tab w:val="left" w:pos="345"/>
        </w:tabs>
        <w:jc w:val="both"/>
        <w:rPr>
          <w:rFonts w:ascii="Cambria" w:eastAsia="Andale Sans UI" w:hAnsi="Cambria"/>
          <w:kern w:val="1"/>
          <w:sz w:val="20"/>
        </w:rPr>
      </w:pPr>
    </w:p>
    <w:p w:rsidR="000559D4" w:rsidRPr="00927533" w:rsidRDefault="001B39BA" w:rsidP="000559D4">
      <w:pPr>
        <w:widowControl w:val="0"/>
        <w:autoSpaceDE w:val="0"/>
        <w:jc w:val="both"/>
        <w:rPr>
          <w:rFonts w:ascii="Cambria" w:hAnsi="Cambria"/>
          <w:sz w:val="20"/>
        </w:rPr>
      </w:pPr>
      <w:r>
        <w:rPr>
          <w:rFonts w:ascii="Cambria" w:eastAsia="Andale Sans UI" w:hAnsi="Cambria"/>
          <w:kern w:val="1"/>
          <w:sz w:val="20"/>
        </w:rPr>
        <w:t>1</w:t>
      </w:r>
      <w:r w:rsidR="000559D4" w:rsidRPr="00927533">
        <w:rPr>
          <w:rFonts w:ascii="Cambria" w:eastAsia="Andale Sans UI" w:hAnsi="Cambria"/>
          <w:kern w:val="1"/>
          <w:sz w:val="20"/>
        </w:rPr>
        <w:t xml:space="preserve">.2 </w:t>
      </w:r>
      <w:r w:rsidR="000559D4" w:rsidRPr="00927533">
        <w:rPr>
          <w:rFonts w:ascii="Cambria" w:hAnsi="Cambria"/>
          <w:sz w:val="20"/>
        </w:rPr>
        <w:t xml:space="preserve"> </w:t>
      </w:r>
      <w:r w:rsidR="000559D4" w:rsidRPr="00927533">
        <w:rPr>
          <w:rFonts w:ascii="Cambria" w:hAnsi="Cambria"/>
          <w:iCs/>
          <w:sz w:val="20"/>
        </w:rPr>
        <w:t xml:space="preserve">Wykonawca zapewnia w okresie gwarancji bezpłatne usługi serwisowe </w:t>
      </w:r>
      <w:r w:rsidR="000559D4">
        <w:rPr>
          <w:rFonts w:ascii="Cambria" w:hAnsi="Cambria"/>
          <w:iCs/>
          <w:sz w:val="20"/>
        </w:rPr>
        <w:t xml:space="preserve">w autoryzowanym serwisie na terenie województwa świętokrzyskiego </w:t>
      </w:r>
      <w:r w:rsidR="000559D4" w:rsidRPr="00927533">
        <w:rPr>
          <w:rFonts w:ascii="Cambria" w:hAnsi="Cambria"/>
          <w:iCs/>
          <w:sz w:val="20"/>
        </w:rPr>
        <w:t xml:space="preserve">na dostarczony samochód, w tym przeglądy gwarancyjne, jeśli będą wymagane. </w:t>
      </w:r>
      <w:r w:rsidR="000559D4" w:rsidRPr="00927533">
        <w:rPr>
          <w:rFonts w:ascii="Cambria" w:eastAsia="Andale Sans UI" w:hAnsi="Cambria"/>
          <w:kern w:val="1"/>
          <w:sz w:val="20"/>
        </w:rPr>
        <w:t xml:space="preserve">Koszty serwisowania samochodu w okresie gwarancji Oferent uwzględni w cenie oferty. </w:t>
      </w:r>
    </w:p>
    <w:p w:rsidR="000559D4" w:rsidRPr="00927533" w:rsidRDefault="000559D4" w:rsidP="000559D4">
      <w:pPr>
        <w:widowControl w:val="0"/>
        <w:tabs>
          <w:tab w:val="left" w:pos="345"/>
        </w:tabs>
        <w:suppressAutoHyphens w:val="0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Warunki serwisowania pojazdu:</w:t>
      </w:r>
    </w:p>
    <w:p w:rsidR="000559D4" w:rsidRPr="00927533" w:rsidRDefault="000559D4" w:rsidP="000559D4">
      <w:pPr>
        <w:suppressAutoHyphens w:val="0"/>
        <w:ind w:firstLine="357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a) czas reakcji serwisu nie dłuższy niż 2 dni robocze</w:t>
      </w:r>
    </w:p>
    <w:p w:rsidR="000559D4" w:rsidRPr="00927533" w:rsidRDefault="000559D4" w:rsidP="000559D4">
      <w:pPr>
        <w:suppressAutoHyphens w:val="0"/>
        <w:ind w:left="357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b) jeżeli naprawa w okresie gwarancji okaże się dłuższa niż 1</w:t>
      </w:r>
      <w:r>
        <w:rPr>
          <w:rFonts w:ascii="Cambria" w:hAnsi="Cambria"/>
          <w:sz w:val="20"/>
          <w:lang w:eastAsia="pl-PL"/>
        </w:rPr>
        <w:t>4</w:t>
      </w:r>
      <w:r w:rsidRPr="00927533">
        <w:rPr>
          <w:rFonts w:ascii="Cambria" w:hAnsi="Cambria"/>
          <w:sz w:val="20"/>
          <w:lang w:eastAsia="pl-PL"/>
        </w:rPr>
        <w:t xml:space="preserve"> dni roboczych od zgłoszenia, Wykonawca zapewni dostawę pojazdu zamiennego o podobnych parametrach technicznych na czas naprawy</w:t>
      </w:r>
    </w:p>
    <w:p w:rsidR="000559D4" w:rsidRPr="00927533" w:rsidRDefault="000559D4" w:rsidP="000559D4">
      <w:pPr>
        <w:suppressAutoHyphens w:val="0"/>
        <w:ind w:firstLine="357"/>
        <w:jc w:val="both"/>
        <w:rPr>
          <w:rFonts w:ascii="Cambria" w:hAnsi="Cambria"/>
          <w:sz w:val="20"/>
          <w:lang w:eastAsia="pl-PL"/>
        </w:rPr>
      </w:pPr>
      <w:r w:rsidRPr="00927533">
        <w:rPr>
          <w:rFonts w:ascii="Cambria" w:hAnsi="Cambria"/>
          <w:sz w:val="20"/>
          <w:lang w:eastAsia="pl-PL"/>
        </w:rPr>
        <w:t>c) transport pojazdu do serwisu w okresie gwarancji na koszt Wykonawcy.</w:t>
      </w:r>
    </w:p>
    <w:p w:rsidR="000559D4" w:rsidRPr="00927533" w:rsidRDefault="000559D4" w:rsidP="000559D4">
      <w:pPr>
        <w:suppressAutoHyphens w:val="0"/>
        <w:jc w:val="both"/>
        <w:rPr>
          <w:rFonts w:ascii="Cambria" w:hAnsi="Cambria"/>
          <w:b/>
          <w:bCs/>
          <w:i/>
          <w:iCs/>
          <w:color w:val="FF0000"/>
          <w:sz w:val="20"/>
          <w:lang w:eastAsia="pl-PL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</w:p>
    <w:p w:rsidR="000559D4" w:rsidRPr="00927533" w:rsidRDefault="000559D4" w:rsidP="000559D4">
      <w:pPr>
        <w:widowControl w:val="0"/>
        <w:autoSpaceDE w:val="0"/>
        <w:rPr>
          <w:rFonts w:ascii="Cambria" w:hAnsi="Cambria"/>
          <w:sz w:val="20"/>
        </w:rPr>
      </w:pPr>
      <w:r w:rsidRPr="00927533">
        <w:rPr>
          <w:rFonts w:ascii="Cambria" w:hAnsi="Cambria"/>
          <w:sz w:val="20"/>
        </w:rPr>
        <w:t xml:space="preserve">                                                        </w:t>
      </w:r>
    </w:p>
    <w:p w:rsidR="000559D4" w:rsidRPr="00927533" w:rsidRDefault="000559D4" w:rsidP="000559D4">
      <w:pPr>
        <w:jc w:val="right"/>
        <w:rPr>
          <w:rFonts w:ascii="Cambria" w:hAnsi="Cambria"/>
          <w:sz w:val="20"/>
        </w:rPr>
      </w:pPr>
      <w:r w:rsidRPr="00927533">
        <w:rPr>
          <w:rFonts w:ascii="Cambria" w:hAnsi="Cambria"/>
          <w:sz w:val="20"/>
        </w:rPr>
        <w:t>…………………….……………………….</w:t>
      </w:r>
    </w:p>
    <w:p w:rsidR="000559D4" w:rsidRPr="00927533" w:rsidRDefault="000559D4" w:rsidP="000559D4">
      <w:pPr>
        <w:widowControl w:val="0"/>
        <w:autoSpaceDE w:val="0"/>
        <w:ind w:left="4860"/>
        <w:rPr>
          <w:rFonts w:ascii="Cambria" w:hAnsi="Cambria"/>
          <w:i/>
          <w:sz w:val="20"/>
        </w:rPr>
      </w:pPr>
      <w:r w:rsidRPr="00927533">
        <w:rPr>
          <w:rFonts w:ascii="Cambria" w:hAnsi="Cambria"/>
          <w:i/>
          <w:sz w:val="20"/>
        </w:rPr>
        <w:t>/podpisy osób uprawnionych do   reprezentacji wykonawcy/</w:t>
      </w:r>
    </w:p>
    <w:p w:rsidR="00ED728B" w:rsidRPr="00012454" w:rsidRDefault="00ED728B" w:rsidP="00012454">
      <w:pPr>
        <w:pStyle w:val="Nagwek1"/>
        <w:jc w:val="both"/>
        <w:rPr>
          <w:rFonts w:ascii="Cambria" w:hAnsi="Cambria" w:cs="Times New Roman"/>
          <w:sz w:val="20"/>
        </w:rPr>
      </w:pPr>
    </w:p>
    <w:sectPr w:rsidR="00ED728B" w:rsidRPr="00012454" w:rsidSect="001B39BA">
      <w:headerReference w:type="default" r:id="rId8"/>
      <w:footerReference w:type="default" r:id="rId9"/>
      <w:pgSz w:w="11906" w:h="16838" w:code="9"/>
      <w:pgMar w:top="510" w:right="1418" w:bottom="680" w:left="1418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8" w:rsidRDefault="003007B8">
      <w:r>
        <w:separator/>
      </w:r>
    </w:p>
  </w:endnote>
  <w:endnote w:type="continuationSeparator" w:id="0">
    <w:p w:rsidR="003007B8" w:rsidRDefault="0030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12" w:rsidRDefault="00B96612">
    <w:pPr>
      <w:pStyle w:val="Stopka"/>
      <w:ind w:left="-710"/>
      <w:rPr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-34290</wp:posOffset>
              </wp:positionV>
              <wp:extent cx="219710" cy="15176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12" w:rsidRDefault="00B966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F782B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34.3pt;margin-top:-2.7pt;width:17.3pt;height:11.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74zkAIAACAFAAAOAAAAZHJzL2Uyb0RvYy54bWysVG1v0zAQ/o7Ef7D8vUtSpS+Jlk5bSxHS&#10;gEmDH+AmTmPN8RnbbTIQ/52z03QrfEGIfHDO9vnxc3fP+fqmbyU5cmMFqIImVzElXJVQCbUv6Ncv&#10;28mSEuuYqpgExQv6zC29Wb19c93pnE+hAVlxQxBE2bzTBW2c03kU2bLhLbNXoLnCzRpMyxxOzT6q&#10;DOsQvZXRNI7nUQem0gZKbi2uboZNugr4dc1L97muLXdEFhS5uTCaMO78GK2uWb43TDeiPNFg/8Ci&#10;ZULhpWeoDXOMHIz4A6oVpQELtbsqoY2grkXJQwwYTRL/Fs1jwzQPsWByrD6nyf4/2PLT8cEQURU0&#10;pUSxFkv0AJITx5+sg46T1Keo0zZHz0eNvq6/gx5LHcK1+h7KJ0sUrBum9vzWGOgaziqkmPiT0auj&#10;A471ILvuI1R4Fzs4CEB9bVqfP8wIQXQs1fO5PLx3pMTFaZItEtwpcSuZJYv5LNzA8vGwNta959AS&#10;bxTUYPUDODveW+fJsHx08XdZkKLaCinDxOx3a2nIkaFStuEbzkrdsGE1qAUx7OAa8C4wpPJICjzm&#10;cN2wggEgAb/nQwmy+JEl0zS+m2aT7Xy5mKTbdDbJFvFyEifZXTaP0yzdbH96BkmaN6KquLoXio8S&#10;TdK/k8CpWQZxBZGSrqDZbDoLwV2wP4V1ijX23ym/F26tcNixUrQFXZ6dWO6L/k5VGDbLHRNysKNL&#10;+iFlmIPxH7ISJOJVMejD9bseUbxudlA9o1gMYDGx7vjMoNGA+U5Jhy1bUPvtwAynRH5QKDjf36Nh&#10;RmM3GkyVeLSgjpLBXLvhHThoI/YNIg+SVnCLoqxFEMwLC6TsJ9iGgfzpyfB9/noevF4ettUvAAAA&#10;//8DAFBLAwQUAAYACAAAACEABD/X/N0AAAAJAQAADwAAAGRycy9kb3ducmV2LnhtbEyPwU7DMBBE&#10;70j8g7VI3FqHlAY3xKmgCK6IgNSrG2+TKPE6it02/D3LCY6reZp5W2xnN4gzTqHzpOFumYBAqr3t&#10;qNHw9fm6UCBCNGTN4Ak1fGOAbXl9VZjc+gt94LmKjeASCrnR0MY45lKGukVnwtKPSJwd/eRM5HNq&#10;pJ3MhcvdINMkyaQzHfFCa0bctVj31clpWL2nD/vwVr3sxj1uehWe+yO1Wt/ezE+PICLO8Q+GX31W&#10;h5KdDv5ENohBg8pUxqiGxfoeBAObZJWCODCp1iDLQv7/oPwBAAD//wMAUEsBAi0AFAAGAAgAAAAh&#10;ALaDOJL+AAAA4QEAABMAAAAAAAAAAAAAAAAAAAAAAFtDb250ZW50X1R5cGVzXS54bWxQSwECLQAU&#10;AAYACAAAACEAOP0h/9YAAACUAQAACwAAAAAAAAAAAAAAAAAvAQAAX3JlbHMvLnJlbHNQSwECLQAU&#10;AAYACAAAACEAeve+M5ACAAAgBQAADgAAAAAAAAAAAAAAAAAuAgAAZHJzL2Uyb0RvYy54bWxQSwEC&#10;LQAUAAYACAAAACEABD/X/N0AAAAJAQAADwAAAAAAAAAAAAAAAADqBAAAZHJzL2Rvd25yZXYueG1s&#10;UEsFBgAAAAAEAAQA8wAAAPQFAAAAAA==&#10;" stroked="f">
              <v:fill opacity="0"/>
              <v:textbox inset="0,0,0,0">
                <w:txbxContent>
                  <w:p w:rsidR="00B96612" w:rsidRDefault="00B966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F782B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710" cy="151765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12" w:rsidRDefault="00B9661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0;margin-top:.05pt;width:17.3pt;height:11.9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9DkwIAACcFAAAOAAAAZHJzL2Uyb0RvYy54bWysVNuO0zAQfUfiHyy/d5N000uipqu9UIS0&#10;wEoLH+AmTmOt4zG222RB/Dtjp+lu4QUh8uCM7fHxnJkzXl31rSQHbqwAVdDkIqaEqxIqoXYF/fpl&#10;M1lSYh1TFZOgeEGfuaVX67dvVp3O+RQakBU3BEGUzTtd0MY5nUeRLRveMnsBmivcrMG0zOHU7KLK&#10;sA7RWxlN43gedWAqbaDk1uLq3bBJ1wG/rnnpPte15Y7IgmJsLowmjFs/RusVy3eG6UaUxzDYP0TR&#10;MqHw0hPUHXOM7I34A6oVpQELtbsooY2grkXJAwdkk8S/sXlsmOaBCybH6lOa7P+DLT8dHgwRVUEv&#10;KVGsxRI9gOTE8SfroOPk0qeo0zZHz0eNvq6/gR5LHehafQ/lkyUKbhumdvzaGOgazioMMfEno1dH&#10;BxzrQbbdR6jwLrZ3EID62rQ+f5gRguhYqudTeXjvSImL0yRbJLhT4lYySxbzWbiB5eNhbax7z6El&#10;3iioweoHcHa4t84Hw/LRxd9lQYpqI6QME7Pb3kpDDgyVsgnfcFbqhg2rQS2IYQfXgHeGIZVHUuAx&#10;h+uGFSSAAfg9TyXI4keWTNP4ZppNNvPlYpJu0tkkW8TLSZxkN9k8TrP0bvPTR5CkeSOqiqt7ofgo&#10;0ST9Owkcm2UQVxAp6QqazaazQO4s+iOtI9fYf8f8nrm1wmHHStEWdHlyYrkv+jtVIW2WOybkYEfn&#10;4YeUYQ7Gf8hKkIhXxaAP12/7IMigHy+fLVTPqBkDWFMsP742aDRgvlPSYecW1H7bM8MpkR8U6s63&#10;+WiY0diOBlMlHi2oo2Qwb93wHOy1EbsGkQdlK7hGbdYi6OYlCozcT7AbA4fjy+Hb/fU8eL28b+tf&#10;AAAA//8DAFBLAwQUAAYACAAAACEAJW6N1tgAAAADAQAADwAAAGRycy9kb3ducmV2LnhtbEyPwW7C&#10;MBBE75X4B2sr9VacBkQhxEGUqlyrppW4mniJo8TrKGsg/fuaEz3uzGjmbb4ZXScuOHDjScHLNAGB&#10;VHnTUK3g5/vjeQmCgyajO0+o4BcZNsXkIdeZ8Vf6wksZahFLiDOtwIbQZ1JyZdFpnvoeKXonPzgd&#10;4jnU0gz6GstdJ9MkWUinG4oLVve4s1i15dkpmH2mrwfel++7/oCrdslv7YmsUk+P43YNIuAY7mG4&#10;4Ud0KCLT0Z/JsOgUxEfCTRXRm80XII4K0nkCssjlf/biDwAA//8DAFBLAQItABQABgAIAAAAIQC2&#10;gziS/gAAAOEBAAATAAAAAAAAAAAAAAAAAAAAAABbQ29udGVudF9UeXBlc10ueG1sUEsBAi0AFAAG&#10;AAgAAAAhADj9If/WAAAAlAEAAAsAAAAAAAAAAAAAAAAALwEAAF9yZWxzLy5yZWxzUEsBAi0AFAAG&#10;AAgAAAAhAKbkT0OTAgAAJwUAAA4AAAAAAAAAAAAAAAAALgIAAGRycy9lMm9Eb2MueG1sUEsBAi0A&#10;FAAGAAgAAAAhACVujdbYAAAAAwEAAA8AAAAAAAAAAAAAAAAA7QQAAGRycy9kb3ducmV2LnhtbFBL&#10;BQYAAAAABAAEAPMAAADyBQAAAAA=&#10;" stroked="f">
              <v:fill opacity="0"/>
              <v:textbox inset="0,0,0,0">
                <w:txbxContent>
                  <w:p w:rsidR="00B96612" w:rsidRDefault="00B9661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8" w:rsidRDefault="003007B8">
      <w:r>
        <w:separator/>
      </w:r>
    </w:p>
  </w:footnote>
  <w:footnote w:type="continuationSeparator" w:id="0">
    <w:p w:rsidR="003007B8" w:rsidRDefault="0030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12" w:rsidRDefault="00B96612" w:rsidP="00927533">
    <w:pPr>
      <w:pStyle w:val="Nagwek"/>
      <w:jc w:val="left"/>
    </w:pPr>
  </w:p>
  <w:p w:rsidR="00B96612" w:rsidRDefault="00B96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4D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Andale Sans UI" w:hAnsi="Times New Roman" w:cs="Times New Roman"/>
        <w:b w:val="0"/>
      </w:rPr>
    </w:lvl>
    <w:lvl w:ilvl="1"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29D63B0"/>
    <w:multiLevelType w:val="hybridMultilevel"/>
    <w:tmpl w:val="484E3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53A9"/>
    <w:multiLevelType w:val="hybridMultilevel"/>
    <w:tmpl w:val="0C1E4B88"/>
    <w:lvl w:ilvl="0" w:tplc="01AA28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40F"/>
    <w:multiLevelType w:val="hybridMultilevel"/>
    <w:tmpl w:val="5FAA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F4D9D"/>
    <w:multiLevelType w:val="hybridMultilevel"/>
    <w:tmpl w:val="9D682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87B84"/>
    <w:multiLevelType w:val="hybridMultilevel"/>
    <w:tmpl w:val="8108AC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B92A4E"/>
    <w:multiLevelType w:val="hybridMultilevel"/>
    <w:tmpl w:val="2B9C6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244"/>
    <w:multiLevelType w:val="hybridMultilevel"/>
    <w:tmpl w:val="C38E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D303E"/>
    <w:multiLevelType w:val="hybridMultilevel"/>
    <w:tmpl w:val="FD7A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1897"/>
    <w:multiLevelType w:val="hybridMultilevel"/>
    <w:tmpl w:val="3190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02A"/>
    <w:multiLevelType w:val="hybridMultilevel"/>
    <w:tmpl w:val="4400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561A"/>
    <w:multiLevelType w:val="hybridMultilevel"/>
    <w:tmpl w:val="B608F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26"/>
    <w:rsid w:val="00012454"/>
    <w:rsid w:val="00037E03"/>
    <w:rsid w:val="000559D4"/>
    <w:rsid w:val="0007449C"/>
    <w:rsid w:val="000746A6"/>
    <w:rsid w:val="000B4C23"/>
    <w:rsid w:val="000C176A"/>
    <w:rsid w:val="00130F55"/>
    <w:rsid w:val="00147C15"/>
    <w:rsid w:val="00165658"/>
    <w:rsid w:val="001A261F"/>
    <w:rsid w:val="001B39BA"/>
    <w:rsid w:val="00206C45"/>
    <w:rsid w:val="002164DF"/>
    <w:rsid w:val="00242B2E"/>
    <w:rsid w:val="00276EEF"/>
    <w:rsid w:val="002B5035"/>
    <w:rsid w:val="002C555A"/>
    <w:rsid w:val="002D0450"/>
    <w:rsid w:val="002E55E8"/>
    <w:rsid w:val="002F0C26"/>
    <w:rsid w:val="002F1F56"/>
    <w:rsid w:val="002F7BFA"/>
    <w:rsid w:val="003007B8"/>
    <w:rsid w:val="003229EA"/>
    <w:rsid w:val="00344F53"/>
    <w:rsid w:val="00357A2F"/>
    <w:rsid w:val="003808CB"/>
    <w:rsid w:val="003D776F"/>
    <w:rsid w:val="00475E8A"/>
    <w:rsid w:val="004C363B"/>
    <w:rsid w:val="004D5F94"/>
    <w:rsid w:val="0052266A"/>
    <w:rsid w:val="005517E1"/>
    <w:rsid w:val="00564FF5"/>
    <w:rsid w:val="005902A3"/>
    <w:rsid w:val="005A1CB5"/>
    <w:rsid w:val="005A2B3F"/>
    <w:rsid w:val="005C2C09"/>
    <w:rsid w:val="005C6C4A"/>
    <w:rsid w:val="005E74C2"/>
    <w:rsid w:val="00611621"/>
    <w:rsid w:val="00627D28"/>
    <w:rsid w:val="00633748"/>
    <w:rsid w:val="00643E94"/>
    <w:rsid w:val="00664E77"/>
    <w:rsid w:val="00665EF5"/>
    <w:rsid w:val="0067621E"/>
    <w:rsid w:val="006B4401"/>
    <w:rsid w:val="006D1DFE"/>
    <w:rsid w:val="006F3212"/>
    <w:rsid w:val="0072306C"/>
    <w:rsid w:val="00757256"/>
    <w:rsid w:val="0076491C"/>
    <w:rsid w:val="00776C8A"/>
    <w:rsid w:val="007A5C2E"/>
    <w:rsid w:val="00827F11"/>
    <w:rsid w:val="008310B9"/>
    <w:rsid w:val="008625B0"/>
    <w:rsid w:val="00865364"/>
    <w:rsid w:val="008755FC"/>
    <w:rsid w:val="00896CB4"/>
    <w:rsid w:val="008D210E"/>
    <w:rsid w:val="008D30EF"/>
    <w:rsid w:val="008D3305"/>
    <w:rsid w:val="008F782B"/>
    <w:rsid w:val="009074E8"/>
    <w:rsid w:val="009078FE"/>
    <w:rsid w:val="00912A87"/>
    <w:rsid w:val="00927533"/>
    <w:rsid w:val="00974634"/>
    <w:rsid w:val="0099433C"/>
    <w:rsid w:val="009C3BAA"/>
    <w:rsid w:val="009E6BA6"/>
    <w:rsid w:val="009F33DB"/>
    <w:rsid w:val="00A04D69"/>
    <w:rsid w:val="00A2335B"/>
    <w:rsid w:val="00A60306"/>
    <w:rsid w:val="00A612FE"/>
    <w:rsid w:val="00A943CA"/>
    <w:rsid w:val="00AB3BD2"/>
    <w:rsid w:val="00AB5C49"/>
    <w:rsid w:val="00AC3DAD"/>
    <w:rsid w:val="00B05240"/>
    <w:rsid w:val="00B96612"/>
    <w:rsid w:val="00BC7733"/>
    <w:rsid w:val="00BF2C10"/>
    <w:rsid w:val="00C30A32"/>
    <w:rsid w:val="00C317F7"/>
    <w:rsid w:val="00C52BD8"/>
    <w:rsid w:val="00C658FC"/>
    <w:rsid w:val="00CB1D88"/>
    <w:rsid w:val="00D04D1E"/>
    <w:rsid w:val="00D51E53"/>
    <w:rsid w:val="00DC697D"/>
    <w:rsid w:val="00DD0C45"/>
    <w:rsid w:val="00E42C3D"/>
    <w:rsid w:val="00E45BC9"/>
    <w:rsid w:val="00E45BF0"/>
    <w:rsid w:val="00E51D5B"/>
    <w:rsid w:val="00E575D0"/>
    <w:rsid w:val="00E87B4E"/>
    <w:rsid w:val="00EC37F6"/>
    <w:rsid w:val="00ED728B"/>
    <w:rsid w:val="00EE4656"/>
    <w:rsid w:val="00EF16D3"/>
    <w:rsid w:val="00F31F40"/>
    <w:rsid w:val="00F3583C"/>
    <w:rsid w:val="00FC49B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95A93-FA26-45CD-A9AB-DDE9D051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C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0C26"/>
    <w:pPr>
      <w:keepNext/>
      <w:outlineLvl w:val="0"/>
    </w:pPr>
    <w:rPr>
      <w:rFonts w:ascii="Arial" w:hAnsi="Arial" w:cs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0C26"/>
    <w:rPr>
      <w:rFonts w:ascii="Arial" w:eastAsia="Times New Roman" w:hAnsi="Arial" w:cs="Arial"/>
      <w:b/>
      <w:i/>
      <w:sz w:val="96"/>
      <w:szCs w:val="20"/>
      <w:lang w:eastAsia="zh-CN"/>
    </w:rPr>
  </w:style>
  <w:style w:type="character" w:styleId="Numerstrony">
    <w:name w:val="page number"/>
    <w:basedOn w:val="Domylnaczcionkaakapitu"/>
    <w:rsid w:val="002F0C26"/>
  </w:style>
  <w:style w:type="paragraph" w:styleId="Stopka">
    <w:name w:val="footer"/>
    <w:basedOn w:val="Normalny"/>
    <w:link w:val="StopkaZnak"/>
    <w:rsid w:val="002F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2F0C26"/>
    <w:pPr>
      <w:spacing w:before="10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rsid w:val="002F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C2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2F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F94"/>
    <w:pPr>
      <w:suppressAutoHyphens w:val="0"/>
      <w:ind w:left="708"/>
      <w:jc w:val="left"/>
    </w:pPr>
    <w:rPr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FC49BF"/>
    <w:pPr>
      <w:suppressLineNumbers/>
      <w:jc w:val="left"/>
    </w:pPr>
    <w:rPr>
      <w:rFonts w:cs="Tahoma"/>
      <w:szCs w:val="24"/>
      <w:lang w:eastAsia="ar-SA"/>
    </w:rPr>
  </w:style>
  <w:style w:type="character" w:styleId="Pogrubienie">
    <w:name w:val="Strong"/>
    <w:uiPriority w:val="22"/>
    <w:qFormat/>
    <w:rsid w:val="0092753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6229-4153-4404-A887-A68361AD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Lesczyńska</dc:creator>
  <cp:lastModifiedBy>Janusz Gajda</cp:lastModifiedBy>
  <cp:revision>17</cp:revision>
  <cp:lastPrinted>2016-09-09T10:16:00Z</cp:lastPrinted>
  <dcterms:created xsi:type="dcterms:W3CDTF">2016-09-22T06:41:00Z</dcterms:created>
  <dcterms:modified xsi:type="dcterms:W3CDTF">2016-09-23T10:56:00Z</dcterms:modified>
</cp:coreProperties>
</file>